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A4" w:rsidRDefault="006652A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652A4" w:rsidRPr="006905B8" w:rsidRDefault="006905B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эвакуатора</w:t>
      </w:r>
    </w:p>
    <w:p w:rsidR="006652A4" w:rsidRPr="006905B8" w:rsidRDefault="006652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652A4" w:rsidRPr="006905B8" w:rsidRDefault="006905B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обязаннос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12.0.003-2015 "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ССБТ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12.0.004-2015 "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ССБТ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19.08.2016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438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Типового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инздравсоцразвития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2.1.10.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2.1.11.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652A4" w:rsidRPr="006905B8" w:rsidRDefault="006905B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предстоя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ннего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предоставлени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законодате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льством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падающий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652A4" w:rsidRPr="006905B8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регрузки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652A4" w:rsidRPr="006905B8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652A4" w:rsidRPr="006905B8" w:rsidRDefault="006905B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отработанными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652A4" w:rsidRPr="006905B8" w:rsidRDefault="006905B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</w:t>
      </w:r>
      <w:r>
        <w:rPr>
          <w:rFonts w:hAnsi="Times New Roman" w:cs="Times New Roman"/>
          <w:color w:val="000000"/>
          <w:sz w:val="24"/>
          <w:szCs w:val="24"/>
        </w:rPr>
        <w:t>за</w:t>
      </w: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652A4" w:rsidRPr="006905B8" w:rsidRDefault="006905B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3.11.2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_____)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оголе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дезинфи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цирующими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3.13.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еклоочистителей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Default="006905B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сооружение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неработающих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бирка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ъемности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стреле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оборванную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прядь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угрожающие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одъемности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нужн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заняты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обслуживанием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заторможено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контрольную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налево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4.4.7.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кранового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гуська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захватов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разворотов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уклонов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трубопроводо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причиненные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косое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дупредить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близкого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разрешенной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предварительн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сроках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косом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Вытаскивать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сооружением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засыпанный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Поднимать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неправильно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зацепленный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автомобиль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Вкатывать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эвакуируемый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устроенному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пандусу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варийного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мешали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пандусу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ржанию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укомплектован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порошковым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5.4.5.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экстре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6.1.1.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несчастные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произойти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норий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652A4" w:rsidRPr="006905B8" w:rsidRDefault="006905B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проколе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упором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нормальное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Продолжение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странения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6652A4" w:rsidRPr="006905B8" w:rsidRDefault="006905B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Реанимационные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2 .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первог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ткан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9.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мпутированный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пециализированное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6652A4" w:rsidRPr="006905B8" w:rsidRDefault="006905B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рхности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аружного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6652A4" w:rsidRPr="006905B8" w:rsidRDefault="006905B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кровотечение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652A4" w:rsidRPr="006905B8" w:rsidRDefault="006905B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интовав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придавлив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придавл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6652A4" w:rsidRPr="006905B8" w:rsidRDefault="006905B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Термические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6652A4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обожжен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яжелых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фосфоро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негаш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Default="006905B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Default="006905B8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6652A4" w:rsidRPr="006905B8" w:rsidRDefault="006905B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употреблять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избег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Default="006905B8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ющим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отбросить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предотвращен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прекраще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6652A4" w:rsidRPr="006905B8" w:rsidRDefault="006905B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эпиле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птическом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непроизвольные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Default="006905B8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>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улож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легоч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ыло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анные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адительной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7.3.3.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7.4.4.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затянуть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7.4.5.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эвакуатора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шка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905B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элеватора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5B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652A4" w:rsidRPr="006905B8" w:rsidRDefault="006652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2A4" w:rsidRDefault="006905B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905B8">
        <w:rPr>
          <w:rFonts w:hAnsi="Times New Roman" w:cs="Times New Roman"/>
          <w:color w:val="000000"/>
          <w:sz w:val="24"/>
          <w:szCs w:val="24"/>
        </w:rPr>
        <w:t>https://1otruda.ru/#/document/118/109276/</w:t>
      </w:r>
    </w:p>
    <w:p w:rsidR="006652A4" w:rsidRDefault="006652A4">
      <w:pPr>
        <w:rPr>
          <w:rFonts w:hAnsi="Times New Roman" w:cs="Times New Roman"/>
          <w:color w:val="000000"/>
          <w:sz w:val="24"/>
          <w:szCs w:val="24"/>
        </w:rPr>
      </w:pPr>
    </w:p>
    <w:sectPr w:rsidR="006652A4" w:rsidSect="006652A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975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864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F11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004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ED4D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FB28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B87C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FF17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6304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070C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5A2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2154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271D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3B1A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B2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9A56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1131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490D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6A24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C351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9"/>
  </w:num>
  <w:num w:numId="4">
    <w:abstractNumId w:val="12"/>
  </w:num>
  <w:num w:numId="5">
    <w:abstractNumId w:val="7"/>
  </w:num>
  <w:num w:numId="6">
    <w:abstractNumId w:val="19"/>
  </w:num>
  <w:num w:numId="7">
    <w:abstractNumId w:val="2"/>
  </w:num>
  <w:num w:numId="8">
    <w:abstractNumId w:val="11"/>
  </w:num>
  <w:num w:numId="9">
    <w:abstractNumId w:val="0"/>
  </w:num>
  <w:num w:numId="10">
    <w:abstractNumId w:val="15"/>
  </w:num>
  <w:num w:numId="11">
    <w:abstractNumId w:val="16"/>
  </w:num>
  <w:num w:numId="12">
    <w:abstractNumId w:val="13"/>
  </w:num>
  <w:num w:numId="13">
    <w:abstractNumId w:val="17"/>
  </w:num>
  <w:num w:numId="14">
    <w:abstractNumId w:val="18"/>
  </w:num>
  <w:num w:numId="15">
    <w:abstractNumId w:val="4"/>
  </w:num>
  <w:num w:numId="16">
    <w:abstractNumId w:val="14"/>
  </w:num>
  <w:num w:numId="17">
    <w:abstractNumId w:val="6"/>
  </w:num>
  <w:num w:numId="18">
    <w:abstractNumId w:val="1"/>
  </w:num>
  <w:num w:numId="19">
    <w:abstractNumId w:val="10"/>
  </w:num>
  <w:num w:numId="20">
    <w:abstractNumId w:val="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652A4"/>
    <w:rsid w:val="006905B8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6798</Words>
  <Characters>38750</Characters>
  <Application>Microsoft Office Word</Application>
  <DocSecurity>0</DocSecurity>
  <Lines>322</Lines>
  <Paragraphs>90</Paragraphs>
  <ScaleCrop>false</ScaleCrop>
  <Company/>
  <LinksUpToDate>false</LinksUpToDate>
  <CharactersWithSpaces>45458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2022-11-18T06:36:00Z</dcterms:modified>
</cp:coreProperties>
</file>